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9B5D3" w14:textId="77777777" w:rsidR="009B6952" w:rsidRPr="00B43964" w:rsidRDefault="009B6952" w:rsidP="004E59E6">
      <w:pPr>
        <w:jc w:val="center"/>
        <w:rPr>
          <w:sz w:val="12"/>
          <w:szCs w:val="12"/>
        </w:rPr>
      </w:pPr>
    </w:p>
    <w:p w14:paraId="3F91543E" w14:textId="6B1D5A00" w:rsidR="004E59E6" w:rsidRPr="003560E5" w:rsidRDefault="004E59E6" w:rsidP="004E59E6">
      <w:pPr>
        <w:jc w:val="center"/>
        <w:rPr>
          <w:rFonts w:ascii="Arial" w:hAnsi="Arial" w:cs="Arial"/>
          <w:b/>
          <w:sz w:val="24"/>
          <w:szCs w:val="24"/>
        </w:rPr>
      </w:pPr>
      <w:r w:rsidRPr="003560E5">
        <w:rPr>
          <w:rFonts w:ascii="Arial" w:hAnsi="Arial" w:cs="Arial"/>
          <w:b/>
          <w:sz w:val="24"/>
          <w:szCs w:val="24"/>
        </w:rPr>
        <w:t xml:space="preserve">Coordinación del Rastro Municipal </w:t>
      </w:r>
      <w:r w:rsidR="003D7C71">
        <w:rPr>
          <w:rFonts w:ascii="Arial" w:hAnsi="Arial" w:cs="Arial"/>
          <w:b/>
          <w:sz w:val="24"/>
          <w:szCs w:val="24"/>
        </w:rPr>
        <w:t>ABRIL</w:t>
      </w:r>
      <w:r w:rsidRPr="003560E5">
        <w:rPr>
          <w:rFonts w:ascii="Arial" w:hAnsi="Arial" w:cs="Arial"/>
          <w:b/>
          <w:sz w:val="24"/>
          <w:szCs w:val="24"/>
        </w:rPr>
        <w:t xml:space="preserve"> 2025</w:t>
      </w:r>
    </w:p>
    <w:p w14:paraId="45599A47" w14:textId="77777777" w:rsidR="008D5195" w:rsidRPr="00B43964" w:rsidRDefault="008D5195" w:rsidP="00B43964">
      <w:pPr>
        <w:pStyle w:val="Prrafodelista"/>
        <w:numPr>
          <w:ilvl w:val="0"/>
          <w:numId w:val="3"/>
        </w:numPr>
        <w:spacing w:after="0"/>
        <w:jc w:val="both"/>
        <w:rPr>
          <w:rFonts w:ascii="Arial" w:eastAsia="Times New Roman" w:hAnsi="Arial" w:cs="Arial"/>
          <w:b/>
          <w:color w:val="050505"/>
          <w:sz w:val="24"/>
          <w:szCs w:val="24"/>
          <w:lang w:eastAsia="es-MX"/>
        </w:rPr>
      </w:pPr>
      <w:r w:rsidRPr="00B43964">
        <w:rPr>
          <w:rFonts w:ascii="Arial" w:eastAsia="Times New Roman" w:hAnsi="Arial" w:cs="Arial"/>
          <w:color w:val="050505"/>
          <w:sz w:val="24"/>
          <w:szCs w:val="24"/>
          <w:lang w:eastAsia="es-MX"/>
        </w:rPr>
        <w:t>Número de cabezas sacrificadas</w:t>
      </w:r>
      <w:r w:rsidRPr="00B43964">
        <w:rPr>
          <w:rFonts w:ascii="Arial" w:eastAsia="Times New Roman" w:hAnsi="Arial" w:cs="Arial"/>
          <w:b/>
          <w:color w:val="050505"/>
          <w:sz w:val="24"/>
          <w:szCs w:val="24"/>
          <w:lang w:eastAsia="es-MX"/>
        </w:rPr>
        <w:t>.</w:t>
      </w:r>
      <w:r w:rsidRPr="00B43964">
        <w:rPr>
          <w:rFonts w:ascii="Arial" w:hAnsi="Arial" w:cs="Arial"/>
          <w:color w:val="000000"/>
          <w:sz w:val="24"/>
          <w:szCs w:val="24"/>
          <w:shd w:val="clear" w:color="auto" w:fill="FFFFFF"/>
        </w:rPr>
        <w:t xml:space="preserve"> de ganado bovino, porcino y ovicaprino.</w:t>
      </w:r>
    </w:p>
    <w:p w14:paraId="198061C6" w14:textId="77777777" w:rsidR="007F0B97" w:rsidRPr="00B43964" w:rsidRDefault="007F0B97" w:rsidP="00B43964">
      <w:pPr>
        <w:spacing w:after="0" w:line="240" w:lineRule="auto"/>
        <w:rPr>
          <w:sz w:val="12"/>
          <w:szCs w:val="12"/>
        </w:rPr>
      </w:pPr>
    </w:p>
    <w:tbl>
      <w:tblPr>
        <w:tblStyle w:val="Tablaconcuadrcula"/>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46"/>
        <w:gridCol w:w="8990"/>
        <w:gridCol w:w="146"/>
      </w:tblGrid>
      <w:tr w:rsidR="004E59E6" w14:paraId="4A1DFCC4" w14:textId="77777777" w:rsidTr="00B43964">
        <w:tc>
          <w:tcPr>
            <w:tcW w:w="160" w:type="dxa"/>
          </w:tcPr>
          <w:p w14:paraId="6D33A372" w14:textId="77777777" w:rsidR="004E59E6" w:rsidRDefault="004E59E6" w:rsidP="00B43964"/>
        </w:tc>
        <w:tc>
          <w:tcPr>
            <w:tcW w:w="8976" w:type="dxa"/>
          </w:tcPr>
          <w:p w14:paraId="7112474B" w14:textId="754398AA" w:rsidR="00DA6E3A" w:rsidRDefault="00DA6E3A" w:rsidP="00B43964">
            <w:r>
              <w:rPr>
                <w:noProof/>
              </w:rPr>
              <w:drawing>
                <wp:inline distT="0" distB="0" distL="0" distR="0" wp14:anchorId="74E55891" wp14:editId="1D83B0A2">
                  <wp:extent cx="5612130" cy="3407410"/>
                  <wp:effectExtent l="0" t="0" r="7620" b="2540"/>
                  <wp:docPr id="511783259" name="Gráfico 1">
                    <a:extLst xmlns:a="http://schemas.openxmlformats.org/drawingml/2006/main">
                      <a:ext uri="{FF2B5EF4-FFF2-40B4-BE49-F238E27FC236}">
                        <a16:creationId xmlns:a16="http://schemas.microsoft.com/office/drawing/2014/main" id="{A5EEEB1F-3414-4772-889B-55CE6C34E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46" w:type="dxa"/>
          </w:tcPr>
          <w:p w14:paraId="65460440" w14:textId="77777777" w:rsidR="004E59E6" w:rsidRDefault="004E59E6" w:rsidP="00B43964"/>
        </w:tc>
      </w:tr>
    </w:tbl>
    <w:p w14:paraId="7B76CC28" w14:textId="77777777" w:rsidR="007F0B97" w:rsidRPr="00B43964" w:rsidRDefault="007F0B97" w:rsidP="00B43964">
      <w:pPr>
        <w:spacing w:after="0" w:line="240" w:lineRule="auto"/>
        <w:rPr>
          <w:sz w:val="12"/>
          <w:szCs w:val="12"/>
        </w:rPr>
      </w:pPr>
    </w:p>
    <w:p w14:paraId="03CB8E90" w14:textId="77777777" w:rsidR="0024014E" w:rsidRPr="00B43964" w:rsidRDefault="0024014E" w:rsidP="00B43964">
      <w:pPr>
        <w:spacing w:after="0" w:line="240" w:lineRule="auto"/>
        <w:jc w:val="both"/>
        <w:rPr>
          <w:rFonts w:ascii="Arial" w:eastAsia="Times New Roman" w:hAnsi="Arial" w:cs="Arial"/>
          <w:bCs/>
          <w:color w:val="050505"/>
          <w:sz w:val="24"/>
          <w:szCs w:val="24"/>
          <w:lang w:eastAsia="es-MX"/>
        </w:rPr>
      </w:pPr>
      <w:r w:rsidRPr="00B43964">
        <w:rPr>
          <w:rFonts w:ascii="Arial" w:eastAsia="Times New Roman" w:hAnsi="Arial" w:cs="Arial"/>
          <w:bCs/>
          <w:color w:val="050505"/>
          <w:sz w:val="24"/>
          <w:szCs w:val="24"/>
          <w:lang w:eastAsia="es-MX"/>
        </w:rPr>
        <w:t>CUMPLIMIENTO CON LA COPRISEH.</w:t>
      </w:r>
    </w:p>
    <w:p w14:paraId="3328D912" w14:textId="77777777" w:rsidR="0024014E" w:rsidRPr="00B43964" w:rsidRDefault="0024014E" w:rsidP="00B43964">
      <w:pPr>
        <w:spacing w:after="0" w:line="240" w:lineRule="auto"/>
        <w:jc w:val="both"/>
        <w:rPr>
          <w:rFonts w:ascii="Arial" w:eastAsia="Times New Roman" w:hAnsi="Arial" w:cs="Arial"/>
          <w:bCs/>
          <w:color w:val="050505"/>
          <w:sz w:val="12"/>
          <w:szCs w:val="12"/>
          <w:lang w:eastAsia="es-MX"/>
        </w:rPr>
      </w:pPr>
    </w:p>
    <w:p w14:paraId="411C4834" w14:textId="77777777" w:rsidR="0024014E" w:rsidRPr="00B43964" w:rsidRDefault="0024014E" w:rsidP="00B43964">
      <w:pPr>
        <w:spacing w:after="0" w:line="240" w:lineRule="auto"/>
        <w:ind w:firstLine="708"/>
        <w:jc w:val="both"/>
        <w:rPr>
          <w:rFonts w:ascii="Arial" w:hAnsi="Arial" w:cs="Arial"/>
          <w:bCs/>
          <w:color w:val="000000"/>
          <w:sz w:val="24"/>
          <w:szCs w:val="24"/>
          <w:shd w:val="clear" w:color="auto" w:fill="FFFFFF"/>
        </w:rPr>
      </w:pPr>
      <w:r w:rsidRPr="00B43964">
        <w:rPr>
          <w:rFonts w:ascii="Arial" w:eastAsia="Times New Roman" w:hAnsi="Arial" w:cs="Arial"/>
          <w:bCs/>
          <w:color w:val="050505"/>
          <w:sz w:val="24"/>
          <w:szCs w:val="24"/>
          <w:lang w:eastAsia="es-MX"/>
        </w:rPr>
        <w:t xml:space="preserve">Los trabajos de MANTENIMIENTO </w:t>
      </w:r>
      <w:r w:rsidRPr="00B43964">
        <w:rPr>
          <w:rFonts w:ascii="Arial" w:hAnsi="Arial" w:cs="Arial"/>
          <w:bCs/>
          <w:color w:val="000000"/>
          <w:sz w:val="24"/>
          <w:szCs w:val="24"/>
          <w:shd w:val="clear" w:color="auto" w:fill="FFFFFF"/>
        </w:rPr>
        <w:t>Y REHABILITACIÓN, realizados en las instalaciones de Rastro Municipal, con estas acciones se pretende cumplir con los puntos de la evaluación de riesgos mediante el análisis rápido de 53 puntos críticos en rastro y mataderos municipales. (COPRISEH) dichos trabajos se realizan cotidianamente en las instalaciones de Rastro Municipal, para mantenerlos en óptimas condiciones.</w:t>
      </w:r>
    </w:p>
    <w:p w14:paraId="750AC35C" w14:textId="77777777" w:rsidR="0024014E" w:rsidRPr="00B43964" w:rsidRDefault="0024014E" w:rsidP="00B43964">
      <w:pPr>
        <w:spacing w:after="0" w:line="240" w:lineRule="auto"/>
        <w:ind w:firstLine="708"/>
        <w:jc w:val="both"/>
        <w:rPr>
          <w:rFonts w:ascii="Arial" w:hAnsi="Arial" w:cs="Arial"/>
          <w:bCs/>
          <w:color w:val="000000"/>
          <w:sz w:val="12"/>
          <w:szCs w:val="12"/>
          <w:shd w:val="clear" w:color="auto" w:fill="FFFFFF"/>
        </w:rPr>
      </w:pPr>
    </w:p>
    <w:p w14:paraId="1BE4AD33" w14:textId="576C8343" w:rsidR="007F0B97" w:rsidRPr="00B43964" w:rsidRDefault="0024014E" w:rsidP="00B43964">
      <w:pPr>
        <w:pStyle w:val="Prrafodelista"/>
        <w:numPr>
          <w:ilvl w:val="0"/>
          <w:numId w:val="1"/>
        </w:numPr>
        <w:tabs>
          <w:tab w:val="left" w:pos="1795"/>
        </w:tabs>
        <w:spacing w:after="0" w:line="240" w:lineRule="auto"/>
        <w:jc w:val="both"/>
        <w:rPr>
          <w:bCs/>
        </w:rPr>
      </w:pPr>
      <w:r w:rsidRPr="00B43964">
        <w:rPr>
          <w:rFonts w:ascii="Arial" w:hAnsi="Arial" w:cs="Arial"/>
          <w:bCs/>
          <w:color w:val="000000"/>
          <w:sz w:val="24"/>
          <w:szCs w:val="24"/>
          <w:shd w:val="clear" w:color="auto" w:fill="FFFFFF"/>
        </w:rPr>
        <w:t>Se realizan acciones continuas de Limpieza para mantener en corrales, pasillos y áreas de matanza del Rastro Municipal.</w:t>
      </w:r>
    </w:p>
    <w:p w14:paraId="5DE7B67D" w14:textId="77777777" w:rsidR="0024014E" w:rsidRPr="00B43964" w:rsidRDefault="0024014E" w:rsidP="00B43964">
      <w:pPr>
        <w:tabs>
          <w:tab w:val="left" w:pos="1795"/>
        </w:tabs>
        <w:spacing w:after="0" w:line="240" w:lineRule="auto"/>
        <w:jc w:val="both"/>
        <w:rPr>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2019"/>
        <w:gridCol w:w="3435"/>
      </w:tblGrid>
      <w:tr w:rsidR="00B43964" w14:paraId="2561DF2A" w14:textId="77777777" w:rsidTr="00B43964">
        <w:tc>
          <w:tcPr>
            <w:tcW w:w="2942" w:type="dxa"/>
          </w:tcPr>
          <w:p w14:paraId="2ED54FF3" w14:textId="1AE719EB" w:rsidR="004E59E6" w:rsidRDefault="0024014E" w:rsidP="00B43964">
            <w:pPr>
              <w:jc w:val="center"/>
            </w:pPr>
            <w:r>
              <w:rPr>
                <w:noProof/>
              </w:rPr>
              <w:drawing>
                <wp:inline distT="0" distB="0" distL="0" distR="0" wp14:anchorId="2EDA120E" wp14:editId="07994064">
                  <wp:extent cx="2605091" cy="1953491"/>
                  <wp:effectExtent l="0" t="0" r="5080" b="8890"/>
                  <wp:docPr id="194977013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277" cy="1978376"/>
                          </a:xfrm>
                          <a:prstGeom prst="rect">
                            <a:avLst/>
                          </a:prstGeom>
                          <a:noFill/>
                          <a:ln>
                            <a:noFill/>
                          </a:ln>
                        </pic:spPr>
                      </pic:pic>
                    </a:graphicData>
                  </a:graphic>
                </wp:inline>
              </w:drawing>
            </w:r>
          </w:p>
        </w:tc>
        <w:tc>
          <w:tcPr>
            <w:tcW w:w="2943" w:type="dxa"/>
          </w:tcPr>
          <w:p w14:paraId="10905C5E" w14:textId="5C081694" w:rsidR="0024014E" w:rsidRDefault="0024014E" w:rsidP="00B43964">
            <w:r>
              <w:rPr>
                <w:noProof/>
              </w:rPr>
              <w:drawing>
                <wp:inline distT="0" distB="0" distL="0" distR="0" wp14:anchorId="3D571963" wp14:editId="1388F12E">
                  <wp:extent cx="1483265" cy="1977242"/>
                  <wp:effectExtent l="0" t="0" r="3175" b="4445"/>
                  <wp:docPr id="104238927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462" cy="2169462"/>
                          </a:xfrm>
                          <a:prstGeom prst="rect">
                            <a:avLst/>
                          </a:prstGeom>
                          <a:noFill/>
                          <a:ln>
                            <a:noFill/>
                          </a:ln>
                        </pic:spPr>
                      </pic:pic>
                    </a:graphicData>
                  </a:graphic>
                </wp:inline>
              </w:drawing>
            </w:r>
          </w:p>
        </w:tc>
        <w:tc>
          <w:tcPr>
            <w:tcW w:w="2943" w:type="dxa"/>
          </w:tcPr>
          <w:p w14:paraId="0D342AFD" w14:textId="3BECC05D" w:rsidR="004E59E6" w:rsidRDefault="0024014E" w:rsidP="00B43964">
            <w:pPr>
              <w:jc w:val="center"/>
            </w:pPr>
            <w:r>
              <w:rPr>
                <w:noProof/>
              </w:rPr>
              <w:drawing>
                <wp:inline distT="0" distB="0" distL="0" distR="0" wp14:anchorId="049C7DCA" wp14:editId="28D1CBEC">
                  <wp:extent cx="2652603" cy="1989117"/>
                  <wp:effectExtent l="0" t="0" r="0" b="0"/>
                  <wp:docPr id="8360506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893" cy="2047075"/>
                          </a:xfrm>
                          <a:prstGeom prst="rect">
                            <a:avLst/>
                          </a:prstGeom>
                          <a:noFill/>
                          <a:ln>
                            <a:noFill/>
                          </a:ln>
                        </pic:spPr>
                      </pic:pic>
                    </a:graphicData>
                  </a:graphic>
                </wp:inline>
              </w:drawing>
            </w:r>
          </w:p>
        </w:tc>
      </w:tr>
    </w:tbl>
    <w:p w14:paraId="36BB0B07" w14:textId="77777777" w:rsidR="007F0B97" w:rsidRDefault="007F0B97" w:rsidP="00B43964">
      <w:pPr>
        <w:spacing w:after="0" w:line="240" w:lineRule="auto"/>
        <w:rPr>
          <w:sz w:val="12"/>
          <w:szCs w:val="12"/>
        </w:rPr>
      </w:pPr>
    </w:p>
    <w:p w14:paraId="5CD4016B" w14:textId="77777777" w:rsidR="00B43964" w:rsidRDefault="00B43964" w:rsidP="00B43964">
      <w:pPr>
        <w:spacing w:after="0" w:line="240" w:lineRule="auto"/>
        <w:rPr>
          <w:sz w:val="12"/>
          <w:szCs w:val="12"/>
        </w:rPr>
      </w:pPr>
    </w:p>
    <w:p w14:paraId="11DFA394" w14:textId="77777777" w:rsidR="0024014E" w:rsidRPr="00B43964" w:rsidRDefault="0024014E" w:rsidP="00B43964">
      <w:pPr>
        <w:pStyle w:val="Prrafodelista"/>
        <w:numPr>
          <w:ilvl w:val="0"/>
          <w:numId w:val="1"/>
        </w:numPr>
        <w:spacing w:after="0" w:line="240" w:lineRule="auto"/>
        <w:jc w:val="both"/>
        <w:rPr>
          <w:rFonts w:ascii="Arial" w:hAnsi="Arial" w:cs="Arial"/>
          <w:color w:val="000000"/>
          <w:sz w:val="24"/>
          <w:szCs w:val="24"/>
          <w:shd w:val="clear" w:color="auto" w:fill="FFFFFF"/>
        </w:rPr>
      </w:pPr>
      <w:r w:rsidRPr="00B43964">
        <w:rPr>
          <w:rFonts w:ascii="Arial" w:hAnsi="Arial" w:cs="Arial"/>
          <w:color w:val="000000"/>
          <w:sz w:val="24"/>
          <w:szCs w:val="24"/>
          <w:shd w:val="clear" w:color="auto" w:fill="FFFFFF"/>
        </w:rPr>
        <w:t>Coadyubando con el área de Catastro, se realizó, el estudio topográfico de las instalaciones del Rastro Municipal como parte de los elementos para Integración del Manual de Manejo de Residuos.</w:t>
      </w:r>
    </w:p>
    <w:p w14:paraId="63D95F1A" w14:textId="77777777" w:rsidR="0024014E" w:rsidRPr="00B43964" w:rsidRDefault="0024014E" w:rsidP="00B43964">
      <w:pPr>
        <w:spacing w:after="0" w:line="240" w:lineRule="auto"/>
        <w:rPr>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222"/>
        <w:gridCol w:w="4899"/>
      </w:tblGrid>
      <w:tr w:rsidR="004E59E6" w14:paraId="119978D5" w14:textId="77777777" w:rsidTr="00B43964">
        <w:tc>
          <w:tcPr>
            <w:tcW w:w="4308" w:type="dxa"/>
          </w:tcPr>
          <w:p w14:paraId="404FFFED" w14:textId="353999F7" w:rsidR="004E59E6" w:rsidRDefault="0024014E" w:rsidP="00B43964">
            <w:r>
              <w:rPr>
                <w:noProof/>
              </w:rPr>
              <w:drawing>
                <wp:inline distT="0" distB="0" distL="0" distR="0" wp14:anchorId="7DD4606F" wp14:editId="5A588D01">
                  <wp:extent cx="2268188" cy="1701422"/>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0048" cy="1807834"/>
                          </a:xfrm>
                          <a:prstGeom prst="rect">
                            <a:avLst/>
                          </a:prstGeom>
                          <a:noFill/>
                          <a:ln>
                            <a:noFill/>
                          </a:ln>
                        </pic:spPr>
                      </pic:pic>
                    </a:graphicData>
                  </a:graphic>
                </wp:inline>
              </w:drawing>
            </w:r>
          </w:p>
        </w:tc>
        <w:tc>
          <w:tcPr>
            <w:tcW w:w="236" w:type="dxa"/>
          </w:tcPr>
          <w:p w14:paraId="5819FD6A" w14:textId="77777777" w:rsidR="004E59E6" w:rsidRDefault="004E59E6" w:rsidP="00B43964"/>
          <w:p w14:paraId="781BAEEF" w14:textId="77777777" w:rsidR="004E59E6" w:rsidRDefault="004E59E6" w:rsidP="00B43964"/>
          <w:p w14:paraId="59130873" w14:textId="77777777" w:rsidR="004E59E6" w:rsidRDefault="004E59E6" w:rsidP="00B43964"/>
          <w:p w14:paraId="4A3806E8" w14:textId="77777777" w:rsidR="004E59E6" w:rsidRDefault="004E59E6" w:rsidP="00B43964"/>
          <w:p w14:paraId="626DD808" w14:textId="77777777" w:rsidR="004E59E6" w:rsidRDefault="004E59E6" w:rsidP="00B43964"/>
        </w:tc>
        <w:tc>
          <w:tcPr>
            <w:tcW w:w="4284" w:type="dxa"/>
          </w:tcPr>
          <w:p w14:paraId="2B059E5F" w14:textId="4E7A6A6A" w:rsidR="004E59E6" w:rsidRDefault="0024014E" w:rsidP="00B43964">
            <w:r>
              <w:rPr>
                <w:noProof/>
              </w:rPr>
              <w:drawing>
                <wp:inline distT="0" distB="0" distL="0" distR="0" wp14:anchorId="49513F9F" wp14:editId="4D028BCE">
                  <wp:extent cx="3033200" cy="1705971"/>
                  <wp:effectExtent l="0" t="0" r="0" b="8890"/>
                  <wp:docPr id="201353651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2204" cy="1750405"/>
                          </a:xfrm>
                          <a:prstGeom prst="rect">
                            <a:avLst/>
                          </a:prstGeom>
                          <a:noFill/>
                          <a:ln>
                            <a:noFill/>
                          </a:ln>
                        </pic:spPr>
                      </pic:pic>
                    </a:graphicData>
                  </a:graphic>
                </wp:inline>
              </w:drawing>
            </w:r>
          </w:p>
        </w:tc>
      </w:tr>
    </w:tbl>
    <w:p w14:paraId="47BD4072" w14:textId="77777777" w:rsidR="007F0B97" w:rsidRPr="00B43964" w:rsidRDefault="007F0B97" w:rsidP="00B43964">
      <w:pPr>
        <w:spacing w:after="0" w:line="240" w:lineRule="auto"/>
        <w:rPr>
          <w:sz w:val="12"/>
          <w:szCs w:val="12"/>
        </w:rPr>
      </w:pPr>
    </w:p>
    <w:p w14:paraId="12B7ECDC" w14:textId="77777777" w:rsidR="0024014E" w:rsidRPr="00B43964" w:rsidRDefault="0024014E" w:rsidP="00B43964">
      <w:pPr>
        <w:pStyle w:val="Prrafodelista"/>
        <w:numPr>
          <w:ilvl w:val="0"/>
          <w:numId w:val="2"/>
        </w:numPr>
        <w:spacing w:after="0" w:line="240" w:lineRule="auto"/>
        <w:jc w:val="both"/>
        <w:rPr>
          <w:rFonts w:ascii="Arial" w:hAnsi="Arial" w:cs="Arial"/>
          <w:color w:val="000000"/>
          <w:sz w:val="24"/>
          <w:szCs w:val="24"/>
          <w:shd w:val="clear" w:color="auto" w:fill="FFFFFF"/>
        </w:rPr>
      </w:pPr>
      <w:r w:rsidRPr="00B43964">
        <w:rPr>
          <w:rFonts w:ascii="Arial" w:hAnsi="Arial" w:cs="Arial"/>
          <w:color w:val="000000"/>
          <w:sz w:val="24"/>
          <w:szCs w:val="24"/>
          <w:shd w:val="clear" w:color="auto" w:fill="FFFFFF"/>
        </w:rPr>
        <w:t>Coadyubando con el área de Herrería, se realizaron trabajos de mantenimiento y rehabilitación en el área de la manga de los bovinos.</w:t>
      </w:r>
    </w:p>
    <w:p w14:paraId="61D475E3" w14:textId="77777777" w:rsidR="0024014E" w:rsidRPr="00B43964" w:rsidRDefault="0024014E" w:rsidP="00B43964">
      <w:pPr>
        <w:spacing w:after="0" w:line="240" w:lineRule="auto"/>
        <w:rPr>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222"/>
        <w:gridCol w:w="4308"/>
      </w:tblGrid>
      <w:tr w:rsidR="0024014E" w14:paraId="6DF0FFC3" w14:textId="77777777" w:rsidTr="00B43964">
        <w:tc>
          <w:tcPr>
            <w:tcW w:w="2942" w:type="dxa"/>
          </w:tcPr>
          <w:p w14:paraId="6424E586" w14:textId="6D10602E" w:rsidR="0024014E" w:rsidRDefault="0024014E" w:rsidP="00B43964">
            <w:r>
              <w:rPr>
                <w:noProof/>
              </w:rPr>
              <w:drawing>
                <wp:inline distT="0" distB="0" distL="0" distR="0" wp14:anchorId="2846C4C4" wp14:editId="5DECDB21">
                  <wp:extent cx="2706405" cy="2029460"/>
                  <wp:effectExtent l="0" t="0" r="0" b="8890"/>
                  <wp:docPr id="117979898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4939" cy="2073353"/>
                          </a:xfrm>
                          <a:prstGeom prst="rect">
                            <a:avLst/>
                          </a:prstGeom>
                          <a:noFill/>
                          <a:ln>
                            <a:noFill/>
                          </a:ln>
                        </pic:spPr>
                      </pic:pic>
                    </a:graphicData>
                  </a:graphic>
                </wp:inline>
              </w:drawing>
            </w:r>
          </w:p>
        </w:tc>
        <w:tc>
          <w:tcPr>
            <w:tcW w:w="2943" w:type="dxa"/>
          </w:tcPr>
          <w:p w14:paraId="76862369" w14:textId="7915077B" w:rsidR="0024014E" w:rsidRDefault="0024014E" w:rsidP="00B43964"/>
        </w:tc>
        <w:tc>
          <w:tcPr>
            <w:tcW w:w="2943" w:type="dxa"/>
          </w:tcPr>
          <w:p w14:paraId="13097C44" w14:textId="36CCFD69" w:rsidR="0024014E" w:rsidRDefault="0024014E" w:rsidP="00B43964">
            <w:r>
              <w:rPr>
                <w:noProof/>
              </w:rPr>
              <w:drawing>
                <wp:inline distT="0" distB="0" distL="0" distR="0" wp14:anchorId="71226535" wp14:editId="2683A6A6">
                  <wp:extent cx="2706624" cy="2029625"/>
                  <wp:effectExtent l="0" t="0" r="0" b="8890"/>
                  <wp:docPr id="16121576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9108" cy="2083979"/>
                          </a:xfrm>
                          <a:prstGeom prst="rect">
                            <a:avLst/>
                          </a:prstGeom>
                          <a:noFill/>
                          <a:ln>
                            <a:noFill/>
                          </a:ln>
                        </pic:spPr>
                      </pic:pic>
                    </a:graphicData>
                  </a:graphic>
                </wp:inline>
              </w:drawing>
            </w:r>
          </w:p>
        </w:tc>
      </w:tr>
    </w:tbl>
    <w:p w14:paraId="65440501" w14:textId="77777777" w:rsidR="0024014E" w:rsidRDefault="0024014E" w:rsidP="00B43964">
      <w:pPr>
        <w:spacing w:after="0" w:line="240" w:lineRule="auto"/>
      </w:pPr>
    </w:p>
    <w:p w14:paraId="5795081F" w14:textId="77777777" w:rsidR="0024014E" w:rsidRDefault="0024014E" w:rsidP="00B43964">
      <w:pPr>
        <w:spacing w:after="0" w:line="240" w:lineRule="auto"/>
      </w:pPr>
    </w:p>
    <w:p w14:paraId="4FD47837" w14:textId="77777777" w:rsidR="0024014E" w:rsidRDefault="0024014E" w:rsidP="00B43964">
      <w:pPr>
        <w:spacing w:after="0" w:line="240" w:lineRule="auto"/>
      </w:pPr>
    </w:p>
    <w:p w14:paraId="26B810CE" w14:textId="77777777" w:rsidR="0024014E" w:rsidRDefault="0024014E" w:rsidP="00B43964">
      <w:pPr>
        <w:spacing w:after="0" w:line="240" w:lineRule="auto"/>
      </w:pPr>
    </w:p>
    <w:sectPr w:rsidR="002401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5397"/>
    <w:multiLevelType w:val="hybridMultilevel"/>
    <w:tmpl w:val="060AE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02298"/>
    <w:multiLevelType w:val="hybridMultilevel"/>
    <w:tmpl w:val="C4C2F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BC05D5"/>
    <w:multiLevelType w:val="hybridMultilevel"/>
    <w:tmpl w:val="EB2EC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1281959">
    <w:abstractNumId w:val="2"/>
  </w:num>
  <w:num w:numId="2" w16cid:durableId="1853836961">
    <w:abstractNumId w:val="1"/>
  </w:num>
  <w:num w:numId="3" w16cid:durableId="139357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97"/>
    <w:rsid w:val="00062AB1"/>
    <w:rsid w:val="000D01CA"/>
    <w:rsid w:val="0024014E"/>
    <w:rsid w:val="002B6AF1"/>
    <w:rsid w:val="003560E5"/>
    <w:rsid w:val="00372913"/>
    <w:rsid w:val="003D7C71"/>
    <w:rsid w:val="004E59E6"/>
    <w:rsid w:val="006F6240"/>
    <w:rsid w:val="007B65A3"/>
    <w:rsid w:val="007F0B97"/>
    <w:rsid w:val="00846324"/>
    <w:rsid w:val="008D5195"/>
    <w:rsid w:val="009617EE"/>
    <w:rsid w:val="009B6952"/>
    <w:rsid w:val="00B21E5C"/>
    <w:rsid w:val="00B43964"/>
    <w:rsid w:val="00D70ED7"/>
    <w:rsid w:val="00DA6E3A"/>
    <w:rsid w:val="00DC2C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F698"/>
  <w15:chartTrackingRefBased/>
  <w15:docId w15:val="{AAC3B95A-3D44-48C0-97C1-9A0D9201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4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6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stro%20Municipal\Desktop\Copia%20de%20SISTEMA%20DE%20COBRO%20QUINT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C00000"/>
                </a:solidFill>
                <a:latin typeface="+mn-lt"/>
                <a:ea typeface="+mn-ea"/>
                <a:cs typeface="+mn-cs"/>
              </a:defRPr>
            </a:pPr>
            <a:r>
              <a:rPr lang="es-MX" sz="1100" b="1" i="1" baseline="0">
                <a:solidFill>
                  <a:srgbClr val="C00000"/>
                </a:solidFill>
                <a:effectLst/>
              </a:rPr>
              <a:t>DIRECCIÓN DE SERVICIOS MUNICIPALES</a:t>
            </a:r>
            <a:endParaRPr lang="es-MX" sz="1100" b="1" i="1">
              <a:solidFill>
                <a:srgbClr val="C00000"/>
              </a:solidFill>
              <a:effectLst/>
            </a:endParaRPr>
          </a:p>
          <a:p>
            <a:pPr>
              <a:defRPr sz="1100" b="1" i="1">
                <a:solidFill>
                  <a:srgbClr val="C00000"/>
                </a:solidFill>
              </a:defRPr>
            </a:pPr>
            <a:r>
              <a:rPr lang="es-MX" sz="1100" b="1" i="1" baseline="0">
                <a:solidFill>
                  <a:srgbClr val="C00000"/>
                </a:solidFill>
                <a:effectLst/>
              </a:rPr>
              <a:t>Coordinación del Rastro Municipal</a:t>
            </a:r>
            <a:endParaRPr lang="es-MX" sz="1100" b="1" i="1">
              <a:solidFill>
                <a:srgbClr val="C00000"/>
              </a:solidFill>
              <a:effectLst/>
            </a:endParaRPr>
          </a:p>
          <a:p>
            <a:pPr>
              <a:defRPr sz="1100" b="1" i="1">
                <a:solidFill>
                  <a:srgbClr val="C00000"/>
                </a:solidFill>
              </a:defRPr>
            </a:pPr>
            <a:r>
              <a:rPr lang="es-MX" sz="1100" b="1" i="1" baseline="0">
                <a:solidFill>
                  <a:srgbClr val="C00000"/>
                </a:solidFill>
                <a:effectLst/>
              </a:rPr>
              <a:t>Número de Cabezas Sacrificadas por Especie en ABRIL 2025</a:t>
            </a:r>
            <a:endParaRPr lang="es-MX" sz="1100" b="1" i="1">
              <a:solidFill>
                <a:srgbClr val="C00000"/>
              </a:solidFill>
            </a:endParaRPr>
          </a:p>
        </c:rich>
      </c:tx>
      <c:overlay val="0"/>
      <c:spPr>
        <a:noFill/>
        <a:ln>
          <a:noFill/>
        </a:ln>
        <a:effectLst/>
      </c:spPr>
      <c:txPr>
        <a:bodyPr rot="0" spcFirstLastPara="1" vertOverflow="ellipsis" vert="horz" wrap="square" anchor="ctr" anchorCtr="1"/>
        <a:lstStyle/>
        <a:p>
          <a:pPr>
            <a:defRPr sz="1100" b="1" i="1" u="none" strike="noStrike" kern="1200" spc="0" baseline="0">
              <a:solidFill>
                <a:srgbClr val="C00000"/>
              </a:solidFill>
              <a:latin typeface="+mn-lt"/>
              <a:ea typeface="+mn-ea"/>
              <a:cs typeface="+mn-cs"/>
            </a:defRPr>
          </a:pPr>
          <a:endParaRPr lang="es-MX"/>
        </a:p>
      </c:txPr>
    </c:title>
    <c:autoTitleDeleted val="0"/>
    <c:view3D>
      <c:rotX val="15"/>
      <c:rotY val="20"/>
      <c:depthPercent val="100"/>
      <c:rAngAx val="1"/>
    </c:view3D>
    <c:floor>
      <c:thickness val="0"/>
      <c:spPr>
        <a:solidFill>
          <a:schemeClr val="tx1">
            <a:lumMod val="95000"/>
            <a:lumOff val="5000"/>
          </a:schemeClr>
        </a:solidFill>
        <a:ln w="25400">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Programado</c:v>
          </c:tx>
          <c:spPr>
            <a:solidFill>
              <a:schemeClr val="accent4">
                <a:lumMod val="20000"/>
                <a:lumOff val="80000"/>
              </a:schemeClr>
            </a:solidFill>
            <a:ln>
              <a:noFill/>
            </a:ln>
            <a:effectLst/>
            <a:sp3d/>
          </c:spPr>
          <c:invertIfNegative val="0"/>
          <c:dLbls>
            <c:dLbl>
              <c:idx val="0"/>
              <c:layout>
                <c:manualLayout>
                  <c:x val="2.5939784685197809E-2"/>
                  <c:y val="-2.351421380001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67-482E-AC8F-0037569C3493}"/>
                </c:ext>
              </c:extLst>
            </c:dLbl>
            <c:dLbl>
              <c:idx val="1"/>
              <c:layout>
                <c:manualLayout>
                  <c:x val="2.7792626448426224E-2"/>
                  <c:y val="-2.6873387200015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67-482E-AC8F-0037569C3493}"/>
                </c:ext>
              </c:extLst>
            </c:dLbl>
            <c:dLbl>
              <c:idx val="2"/>
              <c:layout>
                <c:manualLayout>
                  <c:x val="2.4086942921969393E-2"/>
                  <c:y val="-2.015504040001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67-482E-AC8F-0037569C349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GRAFICOS!$B$54:$B$56</c:f>
              <c:strCache>
                <c:ptCount val="3"/>
                <c:pt idx="0">
                  <c:v>Bovinos</c:v>
                </c:pt>
                <c:pt idx="1">
                  <c:v>Porcinos</c:v>
                </c:pt>
                <c:pt idx="2">
                  <c:v>Ovinos</c:v>
                </c:pt>
              </c:strCache>
            </c:strRef>
          </c:cat>
          <c:val>
            <c:numRef>
              <c:f>GRAFICOS!$C$54:$C$56</c:f>
              <c:numCache>
                <c:formatCode>General</c:formatCode>
                <c:ptCount val="3"/>
                <c:pt idx="0">
                  <c:v>145</c:v>
                </c:pt>
                <c:pt idx="1">
                  <c:v>759</c:v>
                </c:pt>
                <c:pt idx="2">
                  <c:v>114</c:v>
                </c:pt>
              </c:numCache>
            </c:numRef>
          </c:val>
          <c:extLst>
            <c:ext xmlns:c16="http://schemas.microsoft.com/office/drawing/2014/chart" uri="{C3380CC4-5D6E-409C-BE32-E72D297353CC}">
              <c16:uniqueId val="{00000003-1A67-482E-AC8F-0037569C3493}"/>
            </c:ext>
          </c:extLst>
        </c:ser>
        <c:ser>
          <c:idx val="1"/>
          <c:order val="1"/>
          <c:tx>
            <c:v>Avance</c:v>
          </c:tx>
          <c:spPr>
            <a:solidFill>
              <a:srgbClr val="FF7C80"/>
            </a:solidFill>
            <a:ln>
              <a:noFill/>
            </a:ln>
            <a:effectLst/>
            <a:sp3d/>
          </c:spPr>
          <c:invertIfNegative val="0"/>
          <c:dLbls>
            <c:dLbl>
              <c:idx val="0"/>
              <c:layout>
                <c:manualLayout>
                  <c:x val="2.5939784685197739E-2"/>
                  <c:y val="-3.3591734000019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67-482E-AC8F-0037569C3493}"/>
                </c:ext>
              </c:extLst>
            </c:dLbl>
            <c:dLbl>
              <c:idx val="1"/>
              <c:layout>
                <c:manualLayout>
                  <c:x val="2.2234101158740978E-2"/>
                  <c:y val="-2.0155040400011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67-482E-AC8F-0037569C3493}"/>
                </c:ext>
              </c:extLst>
            </c:dLbl>
            <c:dLbl>
              <c:idx val="2"/>
              <c:layout>
                <c:manualLayout>
                  <c:x val="2.4086942921969258E-2"/>
                  <c:y val="-4.3669254200024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67-482E-AC8F-0037569C349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GRAFICOS!$B$54:$B$56</c:f>
              <c:strCache>
                <c:ptCount val="3"/>
                <c:pt idx="0">
                  <c:v>Bovinos</c:v>
                </c:pt>
                <c:pt idx="1">
                  <c:v>Porcinos</c:v>
                </c:pt>
                <c:pt idx="2">
                  <c:v>Ovinos</c:v>
                </c:pt>
              </c:strCache>
            </c:strRef>
          </c:cat>
          <c:val>
            <c:numRef>
              <c:f>GRAFICOS!$D$54:$D$56</c:f>
              <c:numCache>
                <c:formatCode>General</c:formatCode>
                <c:ptCount val="3"/>
                <c:pt idx="0">
                  <c:v>161</c:v>
                </c:pt>
                <c:pt idx="1">
                  <c:v>758</c:v>
                </c:pt>
                <c:pt idx="2">
                  <c:v>83</c:v>
                </c:pt>
              </c:numCache>
            </c:numRef>
          </c:val>
          <c:extLst>
            <c:ext xmlns:c16="http://schemas.microsoft.com/office/drawing/2014/chart" uri="{C3380CC4-5D6E-409C-BE32-E72D297353CC}">
              <c16:uniqueId val="{00000007-1A67-482E-AC8F-0037569C3493}"/>
            </c:ext>
          </c:extLst>
        </c:ser>
        <c:dLbls>
          <c:showLegendKey val="0"/>
          <c:showVal val="0"/>
          <c:showCatName val="0"/>
          <c:showSerName val="0"/>
          <c:showPercent val="0"/>
          <c:showBubbleSize val="0"/>
        </c:dLbls>
        <c:gapWidth val="150"/>
        <c:shape val="box"/>
        <c:axId val="917533583"/>
        <c:axId val="731064735"/>
        <c:axId val="0"/>
      </c:bar3DChart>
      <c:catAx>
        <c:axId val="9175335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1" u="none" strike="noStrike" kern="1200" baseline="0">
                <a:solidFill>
                  <a:srgbClr val="C00000"/>
                </a:solidFill>
                <a:latin typeface="+mn-lt"/>
                <a:ea typeface="+mn-ea"/>
                <a:cs typeface="+mn-cs"/>
              </a:defRPr>
            </a:pPr>
            <a:endParaRPr lang="es-MX"/>
          </a:p>
        </c:txPr>
        <c:crossAx val="731064735"/>
        <c:crosses val="autoZero"/>
        <c:auto val="1"/>
        <c:lblAlgn val="ctr"/>
        <c:lblOffset val="100"/>
        <c:noMultiLvlLbl val="0"/>
      </c:catAx>
      <c:valAx>
        <c:axId val="731064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917533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1"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0.05979</cdr:x>
      <cdr:y>0.00181</cdr:y>
    </cdr:from>
    <cdr:to>
      <cdr:x>0.15621</cdr:x>
      <cdr:y>0.19402</cdr:y>
    </cdr:to>
    <cdr:pic>
      <cdr:nvPicPr>
        <cdr:cNvPr id="2" name="Imagen 1">
          <a:extLst xmlns:a="http://schemas.openxmlformats.org/drawingml/2006/main">
            <a:ext uri="{FF2B5EF4-FFF2-40B4-BE49-F238E27FC236}">
              <a16:creationId xmlns:a16="http://schemas.microsoft.com/office/drawing/2014/main" id="{D125839F-D552-4D5B-BEB5-E50568F7638B}"/>
            </a:ext>
          </a:extLst>
        </cdr:cNvPr>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9821" y="6838"/>
          <a:ext cx="660862" cy="726706"/>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0.84012</cdr:x>
      <cdr:y>0.00568</cdr:y>
    </cdr:from>
    <cdr:to>
      <cdr:x>0.93654</cdr:x>
      <cdr:y>0.1979</cdr:y>
    </cdr:to>
    <cdr:pic>
      <cdr:nvPicPr>
        <cdr:cNvPr id="3" name="Imagen 2">
          <a:extLst xmlns:a="http://schemas.openxmlformats.org/drawingml/2006/main">
            <a:ext uri="{FF2B5EF4-FFF2-40B4-BE49-F238E27FC236}">
              <a16:creationId xmlns:a16="http://schemas.microsoft.com/office/drawing/2014/main" id="{0BF7CD47-663A-41FB-9618-E017FFF62E02}"/>
            </a:ext>
          </a:extLst>
        </cdr:cNvPr>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758473" y="21493"/>
          <a:ext cx="660862" cy="726706"/>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A3DA-3F30-4E9B-9515-CF405A92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160</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Coordinación de  Rastro Municipal</cp:lastModifiedBy>
  <cp:revision>15</cp:revision>
  <dcterms:created xsi:type="dcterms:W3CDTF">2025-01-25T04:15:00Z</dcterms:created>
  <dcterms:modified xsi:type="dcterms:W3CDTF">2025-07-02T16:12:00Z</dcterms:modified>
</cp:coreProperties>
</file>